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center"/>
        <w:rPr>
          <w:b/>
          <w:sz w:val="30"/>
          <w:szCs w:val="30"/>
        </w:rPr>
      </w:pPr>
      <w:r>
        <w:rPr>
          <w:b/>
          <w:color w:val="4B4B4B"/>
          <w:sz w:val="30"/>
          <w:szCs w:val="30"/>
          <w:bdr w:val="none" w:color="auto" w:sz="0" w:space="0"/>
          <w:shd w:val="clear" w:fill="FFFFFF"/>
        </w:rPr>
        <w:t>人力资源社会保障部 教育部关于印发《职业技能等级证书监督管理办法（试行）》的通知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ascii="微软雅黑" w:hAnsi="微软雅黑" w:eastAsia="微软雅黑" w:cs="微软雅黑"/>
          <w:color w:val="4B4B4B"/>
          <w:sz w:val="24"/>
          <w:szCs w:val="24"/>
          <w:bdr w:val="none" w:color="auto" w:sz="0" w:space="0"/>
          <w:shd w:val="clear" w:fill="FFFFFF"/>
        </w:rPr>
        <w:t>人社部发〔2019〕34号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各省、自治区、直辖市及新疆生产建设兵团人力资源社会保障厅（局），教育厅（教委、教育局）：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现将《职业技能等级证书监督管理办法（试行）》印发给你们，请遵照执行。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人力资源社会保障部 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2019年4月23日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6"/>
          <w:rFonts w:hint="eastAsia" w:ascii="微软雅黑" w:hAnsi="微软雅黑" w:eastAsia="微软雅黑" w:cs="微软雅黑"/>
          <w:color w:val="4B4B4B"/>
          <w:sz w:val="24"/>
          <w:szCs w:val="24"/>
          <w:bdr w:val="none" w:color="auto" w:sz="0" w:space="0"/>
          <w:shd w:val="clear" w:fill="FFFFFF"/>
        </w:rPr>
        <w:t xml:space="preserve">职业技能等级证书监督管理办法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6"/>
          <w:rFonts w:hint="eastAsia" w:ascii="微软雅黑" w:hAnsi="微软雅黑" w:eastAsia="微软雅黑" w:cs="微软雅黑"/>
          <w:color w:val="4B4B4B"/>
          <w:sz w:val="24"/>
          <w:szCs w:val="24"/>
          <w:bdr w:val="none" w:color="auto" w:sz="0" w:space="0"/>
          <w:shd w:val="clear" w:fill="FFFFFF"/>
        </w:rPr>
        <w:t>（试行）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为了建设全社会终身教育、继续教育、职业教育培训制度体系，构建国家资历框架，提高国民素质，建立推广国家职业标准，提升职业院校（含技工院校）学生和全社会劳动者就业技能，促进国家先进制造业和现代服务业水平提升，解决目前国家经济社会发展部分重点领域技能人才十分短缺的问题，按照部门“三定”方案规定和《国家职业教育改革实施方案》（职教20条）要求，做好“学历证书+若干职业技能等级证书”制度试点工作，现就职业技能等级证书的监督管理，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一、动员、指导、扶持社会力量积极参与职业教育、职业培训工作。人力资源社会保障部建立完善、发掘、推荐国家职业标准，构建新时代国家职业标准制度体系。通过组织起草标准、借鉴国际先进标准、推介国内优秀企业标准等充实国家职业标准体系，逐步扩大对市场职业类别总量的覆盖面。教育部依据国家职业标准，牵头组织开发教学等相关标准。培训评价组织按有关规定开发职业技能等级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二、职业技能等级证书按照“三同两别”原则管理，即“三同”是：院校外、院校内试点培训评价组织（含社会第三方机构，下同）对接同一职业标准和教学标准；两部门目录内职业技能等级证书具有同等效力和待遇；在学习成果认定、积累和转换等方面具有同一效能。“两别”是：人力资源社会保障部、教育部分别负责管理监督考核院校外、院校内职业技能等级证书的实施（技工院校内由人力资源社会保障行政部门负责）；职业技能等级证书由参与试点的培训评价组织分别自行印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三、人力资源社会保障部、教育部分别依托有关方面，组织开展培训评价组织的招募和遴选工作，入围的培训评价组织实行目录管理。培训评价组织遴选及证书实施情况向国务院职业教育工作部际联席会议报告。两部门严格末端监督执法，定期进行“双随机、一公开”的抽查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四、人力资源社会保障部、教育部在国务院领导下开展试点工作，遇到具体问题，可通过部门协调机制解决。重大问题可通过国务院职业教育工作部际联席会议协调。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85F97"/>
    <w:rsid w:val="2B085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18"/>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2020-12-01T01:19:00Z</dcterms:created>
  <dc:creator>Crystal</dc:creator>
  <cp:lastModifiedBy>Crystal</cp:lastModifiedBy>
  <dcterms:modified xsi:type="dcterms:W3CDTF">2020-12-01T01:22:20Z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